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pPr>
        <w:rPr>
          <w:rFonts w:ascii="Times New Roman" w:eastAsia="Times New Roman" w:hAnsi="Times New Roman" w:cs="Times New Roman"/>
          <w:color w:val="1D1D1D"/>
          <w:sz w:val="24"/>
          <w:szCs w:val="24"/>
        </w:rPr>
      </w:pPr>
    </w:p>
    <w:p w:rsidR="00E312FD" w:rsidRDefault="00E312FD" w:rsidP="00E312FD">
      <w:pPr>
        <w:jc w:val="center"/>
        <w:rPr>
          <w:rFonts w:ascii="Times New Roman" w:eastAsia="Times New Roman" w:hAnsi="Times New Roman" w:cs="Times New Roman"/>
          <w:color w:val="1D1D1D"/>
          <w:sz w:val="24"/>
          <w:szCs w:val="24"/>
        </w:rPr>
      </w:pPr>
      <w:r w:rsidRPr="00E312FD">
        <w:rPr>
          <w:rFonts w:ascii="Times New Roman" w:hAnsi="Times New Roman" w:cs="Times New Roman"/>
          <w:sz w:val="24"/>
        </w:rPr>
        <w:t xml:space="preserve">Status </w:t>
      </w:r>
      <w:r>
        <w:rPr>
          <w:rFonts w:ascii="Times New Roman" w:hAnsi="Times New Roman" w:cs="Times New Roman"/>
          <w:sz w:val="24"/>
        </w:rPr>
        <w:t>o</w:t>
      </w:r>
      <w:r w:rsidRPr="00E312FD">
        <w:rPr>
          <w:rFonts w:ascii="Times New Roman" w:hAnsi="Times New Roman" w:cs="Times New Roman"/>
          <w:sz w:val="24"/>
        </w:rPr>
        <w:t xml:space="preserve">f Literacy Skills </w:t>
      </w:r>
      <w:r>
        <w:rPr>
          <w:rFonts w:ascii="Times New Roman" w:hAnsi="Times New Roman" w:cs="Times New Roman"/>
          <w:sz w:val="24"/>
        </w:rPr>
        <w:t>i</w:t>
      </w:r>
      <w:r w:rsidRPr="00E312FD">
        <w:rPr>
          <w:rFonts w:ascii="Times New Roman" w:hAnsi="Times New Roman" w:cs="Times New Roman"/>
          <w:sz w:val="24"/>
        </w:rPr>
        <w:t xml:space="preserve">n </w:t>
      </w:r>
      <w:r>
        <w:rPr>
          <w:rFonts w:ascii="Times New Roman" w:hAnsi="Times New Roman" w:cs="Times New Roman"/>
          <w:sz w:val="24"/>
        </w:rPr>
        <w:t>t</w:t>
      </w:r>
      <w:r w:rsidRPr="00E312FD">
        <w:rPr>
          <w:rFonts w:ascii="Times New Roman" w:hAnsi="Times New Roman" w:cs="Times New Roman"/>
          <w:sz w:val="24"/>
        </w:rPr>
        <w:t>he United States</w:t>
      </w:r>
      <w:r>
        <w:rPr>
          <w:rFonts w:ascii="Times New Roman" w:eastAsia="Times New Roman" w:hAnsi="Times New Roman" w:cs="Times New Roman"/>
          <w:color w:val="1D1D1D"/>
          <w:sz w:val="24"/>
          <w:szCs w:val="24"/>
        </w:rPr>
        <w:t xml:space="preserve"> </w:t>
      </w:r>
    </w:p>
    <w:p w:rsidR="00E312FD" w:rsidRDefault="00E312FD" w:rsidP="00E312FD">
      <w:pPr>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Student</w:t>
      </w:r>
    </w:p>
    <w:p w:rsidR="00E312FD" w:rsidRDefault="00E312FD" w:rsidP="00E312FD">
      <w:pPr>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Institution</w:t>
      </w:r>
    </w:p>
    <w:p w:rsidR="00E312FD" w:rsidRDefault="00E312FD" w:rsidP="00E312FD">
      <w:pPr>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w:t>
      </w:r>
      <w:r>
        <w:rPr>
          <w:rFonts w:ascii="Times New Roman" w:eastAsia="Times New Roman" w:hAnsi="Times New Roman" w:cs="Times New Roman"/>
          <w:color w:val="1D1D1D"/>
          <w:sz w:val="24"/>
          <w:szCs w:val="24"/>
        </w:rPr>
        <w:br w:type="page"/>
      </w:r>
    </w:p>
    <w:p w:rsidR="00D61396" w:rsidRPr="001B7DBD" w:rsidRDefault="00E41B33" w:rsidP="00E41B33">
      <w:pPr>
        <w:shd w:val="clear" w:color="auto" w:fill="FFFFFF"/>
        <w:spacing w:after="0" w:line="480" w:lineRule="auto"/>
        <w:ind w:firstLine="720"/>
        <w:rPr>
          <w:rFonts w:ascii="Times New Roman" w:eastAsia="Times New Roman" w:hAnsi="Times New Roman" w:cs="Times New Roman"/>
          <w:color w:val="1D1D1D"/>
          <w:sz w:val="24"/>
          <w:szCs w:val="24"/>
        </w:rPr>
      </w:pPr>
      <w:r w:rsidRPr="001B7DBD">
        <w:rPr>
          <w:rFonts w:ascii="Times New Roman" w:eastAsia="Times New Roman" w:hAnsi="Times New Roman" w:cs="Times New Roman"/>
          <w:color w:val="1D1D1D"/>
          <w:sz w:val="24"/>
          <w:szCs w:val="24"/>
        </w:rPr>
        <w:lastRenderedPageBreak/>
        <w:t xml:space="preserve">Literacy skills define the necessary mastery of specific component for reading and writing in languages. </w:t>
      </w:r>
      <w:r w:rsidR="006739A2" w:rsidRPr="001B7DBD">
        <w:rPr>
          <w:rFonts w:ascii="Times New Roman" w:eastAsia="Times New Roman" w:hAnsi="Times New Roman" w:cs="Times New Roman"/>
          <w:color w:val="1D1D1D"/>
          <w:sz w:val="24"/>
          <w:szCs w:val="24"/>
        </w:rPr>
        <w:t xml:space="preserve">The critical skill set embodied include phonemic awareness, awareness of print, vocabulary, spelling, reading comprehension, and the literacy bottom line. The level of comprehension for every child is assessed against their ability to read and understand the content of what they are reading. </w:t>
      </w:r>
      <w:r w:rsidR="007B50B2" w:rsidRPr="001B7DBD">
        <w:rPr>
          <w:rFonts w:ascii="Times New Roman" w:eastAsia="Times New Roman" w:hAnsi="Times New Roman" w:cs="Times New Roman"/>
          <w:color w:val="1D1D1D"/>
          <w:sz w:val="24"/>
          <w:szCs w:val="24"/>
        </w:rPr>
        <w:t xml:space="preserve">The ways in which words are spelled and the grasping the concepts behind spellings considered irregular is a critical factor in the speed and capability of learning, particularly so when encountering new words. Vocabulary encompasses words the candidate includes regularly in speech and writing, active vocabulary, and those whose meaning may be obtained and interpreted through use by others or context, passive vocabulary. Awareness of print describes the age at which the children were exposed to reading materials the concept is also grasped from environmental print, and is crucial in the introduction of letters and the alphabet. Phonemic awareness describes the cognizance of sounds. The </w:t>
      </w:r>
      <w:r w:rsidR="004012CF" w:rsidRPr="001B7DBD">
        <w:rPr>
          <w:rFonts w:ascii="Times New Roman" w:eastAsia="Times New Roman" w:hAnsi="Times New Roman" w:cs="Times New Roman"/>
          <w:color w:val="1D1D1D"/>
          <w:sz w:val="24"/>
          <w:szCs w:val="24"/>
        </w:rPr>
        <w:t>concepts describe</w:t>
      </w:r>
      <w:r w:rsidR="007B50B2" w:rsidRPr="001B7DBD">
        <w:rPr>
          <w:rFonts w:ascii="Times New Roman" w:eastAsia="Times New Roman" w:hAnsi="Times New Roman" w:cs="Times New Roman"/>
          <w:color w:val="1D1D1D"/>
          <w:sz w:val="24"/>
          <w:szCs w:val="24"/>
        </w:rPr>
        <w:t xml:space="preserve"> the capability of the children to hear and play with individual sounds in the language, and also form existing and new words through this interplay. </w:t>
      </w:r>
    </w:p>
    <w:p w:rsidR="00A3695B"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What is the status of the literacy skills in the U.S. today? </w:t>
      </w:r>
      <w:r w:rsidR="00A3695B" w:rsidRPr="004B2A99">
        <w:rPr>
          <w:rFonts w:ascii="Times New Roman" w:eastAsia="Times New Roman" w:hAnsi="Times New Roman" w:cs="Times New Roman"/>
          <w:b/>
          <w:color w:val="1D1D1D"/>
          <w:sz w:val="24"/>
          <w:szCs w:val="24"/>
        </w:rPr>
        <w:t xml:space="preserve"> </w:t>
      </w:r>
    </w:p>
    <w:p w:rsidR="0063717D" w:rsidRPr="001B7DBD" w:rsidRDefault="00A3695B" w:rsidP="000C7311">
      <w:pPr>
        <w:shd w:val="clear" w:color="auto" w:fill="FFFFFF"/>
        <w:spacing w:after="0" w:line="480" w:lineRule="auto"/>
        <w:ind w:firstLine="720"/>
        <w:rPr>
          <w:rFonts w:ascii="Times New Roman" w:eastAsia="Times New Roman" w:hAnsi="Times New Roman" w:cs="Times New Roman"/>
          <w:sz w:val="24"/>
          <w:szCs w:val="24"/>
        </w:rPr>
      </w:pPr>
      <w:r w:rsidRPr="001B7DBD">
        <w:rPr>
          <w:rFonts w:ascii="Times New Roman" w:eastAsia="Times New Roman" w:hAnsi="Times New Roman" w:cs="Times New Roman"/>
          <w:sz w:val="24"/>
          <w:szCs w:val="24"/>
        </w:rPr>
        <w:t xml:space="preserve">The current state of literacy in the United States is in crisis. Literacy defines the </w:t>
      </w:r>
      <w:r w:rsidR="000C7311" w:rsidRPr="001B7DBD">
        <w:rPr>
          <w:rFonts w:ascii="Times New Roman" w:eastAsia="Times New Roman" w:hAnsi="Times New Roman" w:cs="Times New Roman"/>
          <w:sz w:val="24"/>
          <w:szCs w:val="24"/>
        </w:rPr>
        <w:t>manner,</w:t>
      </w:r>
      <w:r w:rsidRPr="001B7DBD">
        <w:rPr>
          <w:rFonts w:ascii="Times New Roman" w:eastAsia="Times New Roman" w:hAnsi="Times New Roman" w:cs="Times New Roman"/>
          <w:sz w:val="24"/>
          <w:szCs w:val="24"/>
        </w:rPr>
        <w:t xml:space="preserve"> in which a candidate to either receives and makes meaning of aspects, and also the manner in which </w:t>
      </w:r>
      <w:r w:rsidR="00BF2AF3" w:rsidRPr="001B7DBD">
        <w:rPr>
          <w:rFonts w:ascii="Times New Roman" w:eastAsia="Times New Roman" w:hAnsi="Times New Roman" w:cs="Times New Roman"/>
          <w:sz w:val="24"/>
          <w:szCs w:val="24"/>
        </w:rPr>
        <w:t xml:space="preserve">produce context and how that action creates meaning. A necessary aspect of the skill set is its propensity to expand and diversify to match up in competence with the rapidly changing social and economic environment with a range of new communication media and other forms. </w:t>
      </w:r>
      <w:r w:rsidR="004012CF" w:rsidRPr="001B7DBD">
        <w:rPr>
          <w:rFonts w:ascii="Times New Roman" w:eastAsia="Times New Roman" w:hAnsi="Times New Roman" w:cs="Times New Roman"/>
          <w:sz w:val="24"/>
          <w:szCs w:val="24"/>
        </w:rPr>
        <w:t xml:space="preserve">According to pro-literacy, the number exceeds 30 million for adults in America who cannot read, write or do mathematics that is above the third-grade level </w:t>
      </w:r>
      <w:sdt>
        <w:sdtPr>
          <w:rPr>
            <w:rFonts w:ascii="Times New Roman" w:eastAsia="Times New Roman" w:hAnsi="Times New Roman" w:cs="Times New Roman"/>
            <w:sz w:val="24"/>
            <w:szCs w:val="24"/>
          </w:rPr>
          <w:id w:val="335677641"/>
          <w:citation/>
        </w:sdtPr>
        <w:sdtEndPr/>
        <w:sdtContent>
          <w:r w:rsidR="00436741" w:rsidRPr="001B7DBD">
            <w:rPr>
              <w:rFonts w:ascii="Times New Roman" w:eastAsia="Times New Roman" w:hAnsi="Times New Roman" w:cs="Times New Roman"/>
              <w:sz w:val="24"/>
              <w:szCs w:val="24"/>
            </w:rPr>
            <w:fldChar w:fldCharType="begin"/>
          </w:r>
          <w:r w:rsidR="004012CF" w:rsidRPr="001B7DBD">
            <w:rPr>
              <w:rFonts w:ascii="Times New Roman" w:eastAsia="Times New Roman" w:hAnsi="Times New Roman" w:cs="Times New Roman"/>
              <w:sz w:val="24"/>
              <w:szCs w:val="24"/>
            </w:rPr>
            <w:instrText xml:space="preserve"> CITATION Vec17 \l 1033 </w:instrText>
          </w:r>
          <w:r w:rsidR="00436741" w:rsidRPr="001B7DBD">
            <w:rPr>
              <w:rFonts w:ascii="Times New Roman" w:eastAsia="Times New Roman" w:hAnsi="Times New Roman" w:cs="Times New Roman"/>
              <w:sz w:val="24"/>
              <w:szCs w:val="24"/>
            </w:rPr>
            <w:fldChar w:fldCharType="separate"/>
          </w:r>
          <w:r w:rsidR="004012CF" w:rsidRPr="001B7DBD">
            <w:rPr>
              <w:rFonts w:ascii="Times New Roman" w:eastAsia="Times New Roman" w:hAnsi="Times New Roman" w:cs="Times New Roman"/>
              <w:noProof/>
              <w:sz w:val="24"/>
              <w:szCs w:val="24"/>
            </w:rPr>
            <w:t>(Vecchiarelli, 2017)</w:t>
          </w:r>
          <w:r w:rsidR="00436741" w:rsidRPr="001B7DBD">
            <w:rPr>
              <w:rFonts w:ascii="Times New Roman" w:eastAsia="Times New Roman" w:hAnsi="Times New Roman" w:cs="Times New Roman"/>
              <w:sz w:val="24"/>
              <w:szCs w:val="24"/>
            </w:rPr>
            <w:fldChar w:fldCharType="end"/>
          </w:r>
        </w:sdtContent>
      </w:sdt>
      <w:r w:rsidR="004012CF" w:rsidRPr="001B7DBD">
        <w:rPr>
          <w:rFonts w:ascii="Times New Roman" w:eastAsia="Times New Roman" w:hAnsi="Times New Roman" w:cs="Times New Roman"/>
          <w:sz w:val="24"/>
          <w:szCs w:val="24"/>
        </w:rPr>
        <w:t xml:space="preserve">. The national Bureau of Economic Research conducted a survey that shows </w:t>
      </w:r>
      <w:r w:rsidR="000C7311" w:rsidRPr="001B7DBD">
        <w:rPr>
          <w:rFonts w:ascii="Times New Roman" w:eastAsia="Times New Roman" w:hAnsi="Times New Roman" w:cs="Times New Roman"/>
          <w:sz w:val="24"/>
          <w:szCs w:val="24"/>
        </w:rPr>
        <w:t>C</w:t>
      </w:r>
      <w:r w:rsidR="004012CF" w:rsidRPr="001B7DBD">
        <w:rPr>
          <w:rFonts w:ascii="Times New Roman" w:hAnsi="Times New Roman" w:cs="Times New Roman"/>
          <w:sz w:val="24"/>
          <w:szCs w:val="24"/>
          <w:shd w:val="clear" w:color="auto" w:fill="FFFFFF"/>
        </w:rPr>
        <w:t xml:space="preserve">hildren whose parents have low </w:t>
      </w:r>
      <w:r w:rsidR="004012CF" w:rsidRPr="001B7DBD">
        <w:rPr>
          <w:rFonts w:ascii="Times New Roman" w:hAnsi="Times New Roman" w:cs="Times New Roman"/>
          <w:sz w:val="24"/>
          <w:szCs w:val="24"/>
          <w:shd w:val="clear" w:color="auto" w:fill="FFFFFF"/>
        </w:rPr>
        <w:lastRenderedPageBreak/>
        <w:t>literacy levels have a 72 percent chance of being at the lowest reading levels themselves. These children are more likely to get poor grades, display behavioral problems, have high absentee rates, repeat school years, or drop out</w:t>
      </w:r>
      <w:r w:rsidR="000C7311" w:rsidRPr="001B7DB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335677644"/>
          <w:citation/>
        </w:sdtPr>
        <w:sdtEndPr/>
        <w:sdtContent>
          <w:r w:rsidR="00436741" w:rsidRPr="001B7DBD">
            <w:rPr>
              <w:rFonts w:ascii="Times New Roman" w:hAnsi="Times New Roman" w:cs="Times New Roman"/>
              <w:sz w:val="24"/>
              <w:szCs w:val="24"/>
              <w:shd w:val="clear" w:color="auto" w:fill="FFFFFF"/>
            </w:rPr>
            <w:fldChar w:fldCharType="begin"/>
          </w:r>
          <w:r w:rsidR="000C7311" w:rsidRPr="001B7DBD">
            <w:rPr>
              <w:rFonts w:ascii="Times New Roman" w:hAnsi="Times New Roman" w:cs="Times New Roman"/>
              <w:sz w:val="24"/>
              <w:szCs w:val="24"/>
              <w:shd w:val="clear" w:color="auto" w:fill="FFFFFF"/>
            </w:rPr>
            <w:instrText xml:space="preserve"> CITATION Cur16 \l 1033 </w:instrText>
          </w:r>
          <w:r w:rsidR="00436741" w:rsidRPr="001B7DBD">
            <w:rPr>
              <w:rFonts w:ascii="Times New Roman" w:hAnsi="Times New Roman" w:cs="Times New Roman"/>
              <w:sz w:val="24"/>
              <w:szCs w:val="24"/>
              <w:shd w:val="clear" w:color="auto" w:fill="FFFFFF"/>
            </w:rPr>
            <w:fldChar w:fldCharType="separate"/>
          </w:r>
          <w:r w:rsidR="000C7311" w:rsidRPr="001B7DBD">
            <w:rPr>
              <w:rFonts w:ascii="Times New Roman" w:hAnsi="Times New Roman" w:cs="Times New Roman"/>
              <w:noProof/>
              <w:sz w:val="24"/>
              <w:szCs w:val="24"/>
              <w:shd w:val="clear" w:color="auto" w:fill="FFFFFF"/>
            </w:rPr>
            <w:t>(Currie &amp; Aizer, 2016)</w:t>
          </w:r>
          <w:r w:rsidR="00436741" w:rsidRPr="001B7DBD">
            <w:rPr>
              <w:rFonts w:ascii="Times New Roman" w:hAnsi="Times New Roman" w:cs="Times New Roman"/>
              <w:sz w:val="24"/>
              <w:szCs w:val="24"/>
              <w:shd w:val="clear" w:color="auto" w:fill="FFFFFF"/>
            </w:rPr>
            <w:fldChar w:fldCharType="end"/>
          </w:r>
        </w:sdtContent>
      </w:sdt>
      <w:r w:rsidR="004012CF" w:rsidRPr="001B7DBD">
        <w:rPr>
          <w:rFonts w:ascii="Times New Roman" w:hAnsi="Times New Roman" w:cs="Times New Roman"/>
          <w:sz w:val="24"/>
          <w:szCs w:val="24"/>
          <w:shd w:val="clear" w:color="auto" w:fill="FFFFFF"/>
        </w:rPr>
        <w:t>.</w:t>
      </w:r>
      <w:r w:rsidR="000C7311" w:rsidRPr="001B7DBD">
        <w:rPr>
          <w:rFonts w:ascii="Times New Roman" w:hAnsi="Times New Roman" w:cs="Times New Roman"/>
          <w:sz w:val="24"/>
          <w:szCs w:val="24"/>
          <w:shd w:val="clear" w:color="auto" w:fill="FFFFFF"/>
        </w:rPr>
        <w:t xml:space="preserve"> The Rand Report about education in correctional facilities finds that a 75% majority of prison inmates did not complete high school education or are otherwise classified as low literate </w:t>
      </w:r>
      <w:sdt>
        <w:sdtPr>
          <w:rPr>
            <w:rFonts w:ascii="Times New Roman" w:hAnsi="Times New Roman" w:cs="Times New Roman"/>
            <w:sz w:val="24"/>
            <w:szCs w:val="24"/>
            <w:shd w:val="clear" w:color="auto" w:fill="FFFFFF"/>
          </w:rPr>
          <w:id w:val="335677645"/>
          <w:citation/>
        </w:sdtPr>
        <w:sdtEndPr/>
        <w:sdtContent>
          <w:r w:rsidR="00436741" w:rsidRPr="001B7DBD">
            <w:rPr>
              <w:rFonts w:ascii="Times New Roman" w:hAnsi="Times New Roman" w:cs="Times New Roman"/>
              <w:sz w:val="24"/>
              <w:szCs w:val="24"/>
              <w:shd w:val="clear" w:color="auto" w:fill="FFFFFF"/>
            </w:rPr>
            <w:fldChar w:fldCharType="begin"/>
          </w:r>
          <w:r w:rsidR="00FD602F" w:rsidRPr="001B7DBD">
            <w:rPr>
              <w:rFonts w:ascii="Times New Roman" w:hAnsi="Times New Roman" w:cs="Times New Roman"/>
              <w:sz w:val="24"/>
              <w:szCs w:val="24"/>
              <w:shd w:val="clear" w:color="auto" w:fill="FFFFFF"/>
            </w:rPr>
            <w:instrText xml:space="preserve"> CITATION Dav13 \l 1033  </w:instrText>
          </w:r>
          <w:r w:rsidR="00436741" w:rsidRPr="001B7DBD">
            <w:rPr>
              <w:rFonts w:ascii="Times New Roman" w:hAnsi="Times New Roman" w:cs="Times New Roman"/>
              <w:sz w:val="24"/>
              <w:szCs w:val="24"/>
              <w:shd w:val="clear" w:color="auto" w:fill="FFFFFF"/>
            </w:rPr>
            <w:fldChar w:fldCharType="separate"/>
          </w:r>
          <w:r w:rsidR="00FD602F" w:rsidRPr="001B7DBD">
            <w:rPr>
              <w:rFonts w:ascii="Times New Roman" w:hAnsi="Times New Roman" w:cs="Times New Roman"/>
              <w:noProof/>
              <w:sz w:val="24"/>
              <w:szCs w:val="24"/>
              <w:shd w:val="clear" w:color="auto" w:fill="FFFFFF"/>
            </w:rPr>
            <w:t>(Davis, Bozick, Steele, Saunders, &amp; Miles, 2013)</w:t>
          </w:r>
          <w:r w:rsidR="00436741" w:rsidRPr="001B7DBD">
            <w:rPr>
              <w:rFonts w:ascii="Times New Roman" w:hAnsi="Times New Roman" w:cs="Times New Roman"/>
              <w:sz w:val="24"/>
              <w:szCs w:val="24"/>
              <w:shd w:val="clear" w:color="auto" w:fill="FFFFFF"/>
            </w:rPr>
            <w:fldChar w:fldCharType="end"/>
          </w:r>
        </w:sdtContent>
      </w:sdt>
      <w:r w:rsidR="00FD602F" w:rsidRPr="001B7DBD">
        <w:rPr>
          <w:rFonts w:ascii="Times New Roman" w:hAnsi="Times New Roman" w:cs="Times New Roman"/>
          <w:sz w:val="24"/>
          <w:szCs w:val="24"/>
          <w:shd w:val="clear" w:color="auto" w:fill="FFFFFF"/>
        </w:rPr>
        <w:t xml:space="preserve">.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How did you feel about learning the current literacy levels in the U.S.?</w:t>
      </w:r>
    </w:p>
    <w:p w:rsidR="00A3695B" w:rsidRPr="001B7DBD" w:rsidRDefault="001B7DBD" w:rsidP="001B7DBD">
      <w:pPr>
        <w:shd w:val="clear" w:color="auto" w:fill="FFFFFF"/>
        <w:spacing w:after="0" w:line="480" w:lineRule="auto"/>
        <w:ind w:firstLine="720"/>
        <w:rPr>
          <w:rFonts w:ascii="Times New Roman" w:eastAsia="Times New Roman" w:hAnsi="Times New Roman" w:cs="Times New Roman"/>
          <w:color w:val="222222"/>
          <w:sz w:val="24"/>
          <w:szCs w:val="24"/>
        </w:rPr>
      </w:pPr>
      <w:r w:rsidRPr="001B7DBD">
        <w:rPr>
          <w:rFonts w:ascii="Times New Roman" w:eastAsia="Times New Roman" w:hAnsi="Times New Roman" w:cs="Times New Roman"/>
          <w:color w:val="222222"/>
          <w:sz w:val="24"/>
          <w:szCs w:val="24"/>
        </w:rPr>
        <w:t xml:space="preserve">I feel like the status of literacy sets us aside from other nations and also serves to cause </w:t>
      </w:r>
      <w:r>
        <w:rPr>
          <w:rFonts w:ascii="Times New Roman" w:eastAsia="Times New Roman" w:hAnsi="Times New Roman" w:cs="Times New Roman"/>
          <w:color w:val="222222"/>
          <w:sz w:val="24"/>
          <w:szCs w:val="24"/>
        </w:rPr>
        <w:t>segregations within the nation. The standards then are defined as gaps and are applicable to social communities, and gender</w:t>
      </w:r>
      <w:r w:rsidR="00F668FF">
        <w:rPr>
          <w:rFonts w:ascii="Times New Roman" w:eastAsia="Times New Roman" w:hAnsi="Times New Roman" w:cs="Times New Roman"/>
          <w:color w:val="222222"/>
          <w:sz w:val="24"/>
          <w:szCs w:val="24"/>
        </w:rPr>
        <w:t>, yet the group in danger of illiteracy are growing in population</w:t>
      </w:r>
      <w:r>
        <w:rPr>
          <w:rFonts w:ascii="Times New Roman" w:eastAsia="Times New Roman" w:hAnsi="Times New Roman" w:cs="Times New Roman"/>
          <w:color w:val="222222"/>
          <w:sz w:val="24"/>
          <w:szCs w:val="24"/>
        </w:rPr>
        <w:t xml:space="preserve">. Such a scenario sees on faction more literate and thus the workforce lacks balance. I also think that it is a social injustice for those who have been deemed illiterate which presents as a cycle of poverty for the individual that he has trouble breaking out of. Those illiterate lack critical information that is necessary for them to make choices as fully functional citizens </w:t>
      </w:r>
      <w:r w:rsidR="00F668FF">
        <w:rPr>
          <w:rFonts w:ascii="Times New Roman" w:eastAsia="Times New Roman" w:hAnsi="Times New Roman" w:cs="Times New Roman"/>
          <w:color w:val="222222"/>
          <w:sz w:val="24"/>
          <w:szCs w:val="24"/>
        </w:rPr>
        <w:t xml:space="preserve">which is a step closer to achieving social mobility. Given that this illiteracy statistics present multi-generational threats, I feel like literacy skills is power and should be available for everyone. Lack of it makes me feel like the nation is powerless and the threat of decline in global standing looms around.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What did the articles suggest as a measure to tackle this problem? </w:t>
      </w:r>
    </w:p>
    <w:p w:rsidR="00A3695B" w:rsidRPr="001B7DBD" w:rsidRDefault="0017270D" w:rsidP="0017270D">
      <w:pPr>
        <w:shd w:val="clear" w:color="auto" w:fill="FFFFFF"/>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 the Crawford study, Travis highlights the merits of higher education in sharpening of research skills and analyses the importance of work experience in forming a stable base for the skill set acquired. She also assesses the relationship between availability of information and performance at work, and concludes that literacy skills are fundamental portion of work performance</w:t>
      </w:r>
      <w:r w:rsidR="00E312FD">
        <w:rPr>
          <w:rFonts w:ascii="Times New Roman" w:eastAsia="Times New Roman" w:hAnsi="Times New Roman" w:cs="Times New Roman"/>
          <w:color w:val="222222"/>
          <w:sz w:val="24"/>
          <w:szCs w:val="24"/>
        </w:rPr>
        <w:t xml:space="preserve"> </w:t>
      </w:r>
      <w:sdt>
        <w:sdtPr>
          <w:rPr>
            <w:rFonts w:ascii="Times New Roman" w:eastAsia="Times New Roman" w:hAnsi="Times New Roman" w:cs="Times New Roman"/>
            <w:color w:val="222222"/>
            <w:sz w:val="24"/>
            <w:szCs w:val="24"/>
          </w:rPr>
          <w:id w:val="344747574"/>
          <w:citation/>
        </w:sdtPr>
        <w:sdtEndPr/>
        <w:sdtContent>
          <w:r w:rsidR="00E312FD">
            <w:rPr>
              <w:rFonts w:ascii="Times New Roman" w:eastAsia="Times New Roman" w:hAnsi="Times New Roman" w:cs="Times New Roman"/>
              <w:color w:val="222222"/>
              <w:sz w:val="24"/>
              <w:szCs w:val="24"/>
            </w:rPr>
            <w:fldChar w:fldCharType="begin"/>
          </w:r>
          <w:r w:rsidR="00E312FD">
            <w:rPr>
              <w:rFonts w:ascii="Times New Roman" w:eastAsia="Times New Roman" w:hAnsi="Times New Roman" w:cs="Times New Roman"/>
              <w:color w:val="222222"/>
              <w:sz w:val="24"/>
              <w:szCs w:val="24"/>
            </w:rPr>
            <w:instrText xml:space="preserve"> CITATION Tra17 \l 1033 </w:instrText>
          </w:r>
          <w:r w:rsidR="00E312FD">
            <w:rPr>
              <w:rFonts w:ascii="Times New Roman" w:eastAsia="Times New Roman" w:hAnsi="Times New Roman" w:cs="Times New Roman"/>
              <w:color w:val="222222"/>
              <w:sz w:val="24"/>
              <w:szCs w:val="24"/>
            </w:rPr>
            <w:fldChar w:fldCharType="separate"/>
          </w:r>
          <w:r w:rsidR="00E312FD" w:rsidRPr="00E312FD">
            <w:rPr>
              <w:rFonts w:ascii="Times New Roman" w:eastAsia="Times New Roman" w:hAnsi="Times New Roman" w:cs="Times New Roman"/>
              <w:noProof/>
              <w:color w:val="222222"/>
              <w:sz w:val="24"/>
              <w:szCs w:val="24"/>
            </w:rPr>
            <w:t>(Travis, 2017)</w:t>
          </w:r>
          <w:r w:rsidR="00E312FD">
            <w:rPr>
              <w:rFonts w:ascii="Times New Roman" w:eastAsia="Times New Roman" w:hAnsi="Times New Roman" w:cs="Times New Roman"/>
              <w:color w:val="222222"/>
              <w:sz w:val="24"/>
              <w:szCs w:val="24"/>
            </w:rPr>
            <w:fldChar w:fldCharType="end"/>
          </w:r>
        </w:sdtContent>
      </w:sdt>
      <w:r>
        <w:rPr>
          <w:rFonts w:ascii="Times New Roman" w:eastAsia="Times New Roman" w:hAnsi="Times New Roman" w:cs="Times New Roman"/>
          <w:color w:val="222222"/>
          <w:sz w:val="24"/>
          <w:szCs w:val="24"/>
        </w:rPr>
        <w:t xml:space="preserve">. As such, she emphasizes in the need for librarians and the corporate </w:t>
      </w:r>
      <w:r>
        <w:rPr>
          <w:rFonts w:ascii="Times New Roman" w:eastAsia="Times New Roman" w:hAnsi="Times New Roman" w:cs="Times New Roman"/>
          <w:color w:val="222222"/>
          <w:sz w:val="24"/>
          <w:szCs w:val="24"/>
        </w:rPr>
        <w:lastRenderedPageBreak/>
        <w:t xml:space="preserve">structure to highlight importance of such skills, for their development and nurture. </w:t>
      </w:r>
      <w:r w:rsidR="002808B7">
        <w:rPr>
          <w:rFonts w:ascii="Times New Roman" w:eastAsia="Times New Roman" w:hAnsi="Times New Roman" w:cs="Times New Roman"/>
          <w:color w:val="222222"/>
          <w:sz w:val="24"/>
          <w:szCs w:val="24"/>
        </w:rPr>
        <w:t xml:space="preserve">Julien and team found that the librarians play a crucial role in literacy skill adaptation but are plagued by insufficient support and time. The number of librarians necessary to cover the needs for the student body and course content is spread thin and allowed fleeting time since they are not viewed as instructors </w:t>
      </w:r>
      <w:sdt>
        <w:sdtPr>
          <w:rPr>
            <w:rFonts w:ascii="Times New Roman" w:eastAsia="Times New Roman" w:hAnsi="Times New Roman" w:cs="Times New Roman"/>
            <w:color w:val="222222"/>
            <w:sz w:val="24"/>
            <w:szCs w:val="24"/>
          </w:rPr>
          <w:id w:val="344747673"/>
          <w:citation/>
        </w:sdtPr>
        <w:sdtEndPr/>
        <w:sdtContent>
          <w:r w:rsidR="002808B7">
            <w:rPr>
              <w:rFonts w:ascii="Times New Roman" w:eastAsia="Times New Roman" w:hAnsi="Times New Roman" w:cs="Times New Roman"/>
              <w:color w:val="222222"/>
              <w:sz w:val="24"/>
              <w:szCs w:val="24"/>
            </w:rPr>
            <w:fldChar w:fldCharType="begin"/>
          </w:r>
          <w:r w:rsidR="002808B7">
            <w:rPr>
              <w:rFonts w:ascii="Times New Roman" w:eastAsia="Times New Roman" w:hAnsi="Times New Roman" w:cs="Times New Roman"/>
              <w:color w:val="222222"/>
              <w:sz w:val="24"/>
              <w:szCs w:val="24"/>
            </w:rPr>
            <w:instrText xml:space="preserve"> CITATION Jul18 \l 1033 </w:instrText>
          </w:r>
          <w:r w:rsidR="002808B7">
            <w:rPr>
              <w:rFonts w:ascii="Times New Roman" w:eastAsia="Times New Roman" w:hAnsi="Times New Roman" w:cs="Times New Roman"/>
              <w:color w:val="222222"/>
              <w:sz w:val="24"/>
              <w:szCs w:val="24"/>
            </w:rPr>
            <w:fldChar w:fldCharType="separate"/>
          </w:r>
          <w:r w:rsidR="002808B7" w:rsidRPr="002808B7">
            <w:rPr>
              <w:rFonts w:ascii="Times New Roman" w:eastAsia="Times New Roman" w:hAnsi="Times New Roman" w:cs="Times New Roman"/>
              <w:noProof/>
              <w:color w:val="222222"/>
              <w:sz w:val="24"/>
              <w:szCs w:val="24"/>
            </w:rPr>
            <w:t>(Julien, Gross, &amp; Latham, 2018)</w:t>
          </w:r>
          <w:r w:rsidR="002808B7">
            <w:rPr>
              <w:rFonts w:ascii="Times New Roman" w:eastAsia="Times New Roman" w:hAnsi="Times New Roman" w:cs="Times New Roman"/>
              <w:color w:val="222222"/>
              <w:sz w:val="24"/>
              <w:szCs w:val="24"/>
            </w:rPr>
            <w:fldChar w:fldCharType="end"/>
          </w:r>
        </w:sdtContent>
      </w:sdt>
      <w:r w:rsidR="002808B7">
        <w:rPr>
          <w:rFonts w:ascii="Times New Roman" w:eastAsia="Times New Roman" w:hAnsi="Times New Roman" w:cs="Times New Roman"/>
          <w:color w:val="222222"/>
          <w:sz w:val="24"/>
          <w:szCs w:val="24"/>
        </w:rPr>
        <w:t xml:space="preserve">. Given their intricate duty of the education of the importance of information literacy and the usefulness of instructional partnerships with librarian is critical to attaining higher levels of literacy skills in students. Julien and team also suggest that the lack of formal objectives for instructions instituted in most learning institutions acts as blocks for initiatives by librarians in their efforts to assess the programs and their impacts on competency in information literacy </w:t>
      </w:r>
      <w:sdt>
        <w:sdtPr>
          <w:rPr>
            <w:rFonts w:ascii="Times New Roman" w:eastAsia="Times New Roman" w:hAnsi="Times New Roman" w:cs="Times New Roman"/>
            <w:color w:val="222222"/>
            <w:sz w:val="24"/>
            <w:szCs w:val="24"/>
          </w:rPr>
          <w:id w:val="344747674"/>
          <w:citation/>
        </w:sdtPr>
        <w:sdtEndPr/>
        <w:sdtContent>
          <w:r w:rsidR="002808B7">
            <w:rPr>
              <w:rFonts w:ascii="Times New Roman" w:eastAsia="Times New Roman" w:hAnsi="Times New Roman" w:cs="Times New Roman"/>
              <w:color w:val="222222"/>
              <w:sz w:val="24"/>
              <w:szCs w:val="24"/>
            </w:rPr>
            <w:fldChar w:fldCharType="begin"/>
          </w:r>
          <w:r w:rsidR="002808B7">
            <w:rPr>
              <w:rFonts w:ascii="Times New Roman" w:eastAsia="Times New Roman" w:hAnsi="Times New Roman" w:cs="Times New Roman"/>
              <w:color w:val="222222"/>
              <w:sz w:val="24"/>
              <w:szCs w:val="24"/>
            </w:rPr>
            <w:instrText xml:space="preserve"> CITATION Jul18 \l 1033 </w:instrText>
          </w:r>
          <w:r w:rsidR="002808B7">
            <w:rPr>
              <w:rFonts w:ascii="Times New Roman" w:eastAsia="Times New Roman" w:hAnsi="Times New Roman" w:cs="Times New Roman"/>
              <w:color w:val="222222"/>
              <w:sz w:val="24"/>
              <w:szCs w:val="24"/>
            </w:rPr>
            <w:fldChar w:fldCharType="separate"/>
          </w:r>
          <w:r w:rsidR="002808B7" w:rsidRPr="002808B7">
            <w:rPr>
              <w:rFonts w:ascii="Times New Roman" w:eastAsia="Times New Roman" w:hAnsi="Times New Roman" w:cs="Times New Roman"/>
              <w:noProof/>
              <w:color w:val="222222"/>
              <w:sz w:val="24"/>
              <w:szCs w:val="24"/>
            </w:rPr>
            <w:t>(Julien, Gross, &amp; Latham, 2018)</w:t>
          </w:r>
          <w:r w:rsidR="002808B7">
            <w:rPr>
              <w:rFonts w:ascii="Times New Roman" w:eastAsia="Times New Roman" w:hAnsi="Times New Roman" w:cs="Times New Roman"/>
              <w:color w:val="222222"/>
              <w:sz w:val="24"/>
              <w:szCs w:val="24"/>
            </w:rPr>
            <w:fldChar w:fldCharType="end"/>
          </w:r>
        </w:sdtContent>
      </w:sdt>
      <w:r w:rsidR="002808B7">
        <w:rPr>
          <w:rFonts w:ascii="Times New Roman" w:eastAsia="Times New Roman" w:hAnsi="Times New Roman" w:cs="Times New Roman"/>
          <w:color w:val="222222"/>
          <w:sz w:val="24"/>
          <w:szCs w:val="24"/>
        </w:rPr>
        <w:t xml:space="preserve">.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Are there literacy programs in your community? Explain. </w:t>
      </w:r>
    </w:p>
    <w:p w:rsidR="00A3695B" w:rsidRPr="001B7DBD" w:rsidRDefault="004E79BC" w:rsidP="004E79BC">
      <w:pPr>
        <w:shd w:val="clear" w:color="auto" w:fill="FFFFFF"/>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For any initiative to be referred to be associated with the term community literacy program, it has to indicate a prospect of the development of learning and literacy skills for any individual or groups that exists out of the scope and jurisdiction of the formal education system. The description illustrates a collective approach within the context of society and home. </w:t>
      </w:r>
      <w:r w:rsidR="00474141">
        <w:rPr>
          <w:rFonts w:ascii="Times New Roman" w:eastAsia="Times New Roman" w:hAnsi="Times New Roman" w:cs="Times New Roman"/>
          <w:color w:val="222222"/>
          <w:sz w:val="24"/>
          <w:szCs w:val="24"/>
        </w:rPr>
        <w:t xml:space="preserve">One such initiative in my community is the Student Nutrition Program. The grant for the program is accumulated through fundraising, sponsorships, agency grants and local community. The necessity for the program is the evaluation that student’s have a harder time learning when they are hungry at school. In response to the issue, the program ensures a steady supply of nutritious meals for breakfast and lunch with the goal of supporting learning and a healthy environment. The initiative is not limited and involves all students and youth within the community.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Do you feel technology has helped or hampered our literacy skills? Explain. </w:t>
      </w:r>
    </w:p>
    <w:p w:rsidR="00A3695B" w:rsidRPr="001B7DBD" w:rsidRDefault="00474141" w:rsidP="00474141">
      <w:pPr>
        <w:shd w:val="clear" w:color="auto" w:fill="FFFFFF"/>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In her study, Travis found that 77% of the respondents had high ratings for the influence of technology in the development of literacy and research skills from a professional standpoint </w:t>
      </w:r>
      <w:sdt>
        <w:sdtPr>
          <w:rPr>
            <w:rFonts w:ascii="Times New Roman" w:eastAsia="Times New Roman" w:hAnsi="Times New Roman" w:cs="Times New Roman"/>
            <w:color w:val="222222"/>
            <w:sz w:val="24"/>
            <w:szCs w:val="24"/>
          </w:rPr>
          <w:id w:val="344747675"/>
          <w:citation/>
        </w:sdtPr>
        <w:sdtEndPr/>
        <w:sdtContent>
          <w:r>
            <w:rPr>
              <w:rFonts w:ascii="Times New Roman" w:eastAsia="Times New Roman" w:hAnsi="Times New Roman" w:cs="Times New Roman"/>
              <w:color w:val="222222"/>
              <w:sz w:val="24"/>
              <w:szCs w:val="24"/>
            </w:rPr>
            <w:fldChar w:fldCharType="begin"/>
          </w:r>
          <w:r>
            <w:rPr>
              <w:rFonts w:ascii="Times New Roman" w:eastAsia="Times New Roman" w:hAnsi="Times New Roman" w:cs="Times New Roman"/>
              <w:color w:val="222222"/>
              <w:sz w:val="24"/>
              <w:szCs w:val="24"/>
            </w:rPr>
            <w:instrText xml:space="preserve"> CITATION Tra17 \l 1033 </w:instrText>
          </w:r>
          <w:r>
            <w:rPr>
              <w:rFonts w:ascii="Times New Roman" w:eastAsia="Times New Roman" w:hAnsi="Times New Roman" w:cs="Times New Roman"/>
              <w:color w:val="222222"/>
              <w:sz w:val="24"/>
              <w:szCs w:val="24"/>
            </w:rPr>
            <w:fldChar w:fldCharType="separate"/>
          </w:r>
          <w:r w:rsidRPr="00474141">
            <w:rPr>
              <w:rFonts w:ascii="Times New Roman" w:eastAsia="Times New Roman" w:hAnsi="Times New Roman" w:cs="Times New Roman"/>
              <w:noProof/>
              <w:color w:val="222222"/>
              <w:sz w:val="24"/>
              <w:szCs w:val="24"/>
            </w:rPr>
            <w:t>(Travis, 2017)</w:t>
          </w:r>
          <w:r>
            <w:rPr>
              <w:rFonts w:ascii="Times New Roman" w:eastAsia="Times New Roman" w:hAnsi="Times New Roman" w:cs="Times New Roman"/>
              <w:color w:val="222222"/>
              <w:sz w:val="24"/>
              <w:szCs w:val="24"/>
            </w:rPr>
            <w:fldChar w:fldCharType="end"/>
          </w:r>
        </w:sdtContent>
      </w:sdt>
      <w:r>
        <w:rPr>
          <w:rFonts w:ascii="Times New Roman" w:eastAsia="Times New Roman" w:hAnsi="Times New Roman" w:cs="Times New Roman"/>
          <w:color w:val="222222"/>
          <w:sz w:val="24"/>
          <w:szCs w:val="24"/>
        </w:rPr>
        <w:t xml:space="preserve">. </w:t>
      </w:r>
      <w:r w:rsidR="0036508B">
        <w:rPr>
          <w:rFonts w:ascii="Times New Roman" w:eastAsia="Times New Roman" w:hAnsi="Times New Roman" w:cs="Times New Roman"/>
          <w:color w:val="222222"/>
          <w:sz w:val="24"/>
          <w:szCs w:val="24"/>
        </w:rPr>
        <w:t xml:space="preserve">However, in my opinion, technology has hampered the development of literacy skills. Technology has provided autocorrect features which has led to carelessness and increased the rate of poor grammar and spelling. A consequential effect of overreliance on technology has resulted in a decrease in critical thinking and analysis due to the ease of editing. People reading articles have lost the necessity to focus on the overall and underlying meaning and are rather quick in looking for key words from which they form a hypothesis of the entire article. The manifestation of the problem is visible since the nationwide test scores are extremely low, and only 5% of the students are testing at proficient level </w:t>
      </w:r>
      <w:sdt>
        <w:sdtPr>
          <w:rPr>
            <w:rFonts w:ascii="Times New Roman" w:eastAsia="Times New Roman" w:hAnsi="Times New Roman" w:cs="Times New Roman"/>
            <w:color w:val="222222"/>
            <w:sz w:val="24"/>
            <w:szCs w:val="24"/>
          </w:rPr>
          <w:id w:val="344747677"/>
          <w:citation/>
        </w:sdtPr>
        <w:sdtEndPr/>
        <w:sdtContent>
          <w:r w:rsidR="0036508B">
            <w:rPr>
              <w:rFonts w:ascii="Times New Roman" w:eastAsia="Times New Roman" w:hAnsi="Times New Roman" w:cs="Times New Roman"/>
              <w:color w:val="222222"/>
              <w:sz w:val="24"/>
              <w:szCs w:val="24"/>
            </w:rPr>
            <w:fldChar w:fldCharType="begin"/>
          </w:r>
          <w:r w:rsidR="0036508B">
            <w:rPr>
              <w:rFonts w:ascii="Times New Roman" w:eastAsia="Times New Roman" w:hAnsi="Times New Roman" w:cs="Times New Roman"/>
              <w:color w:val="222222"/>
              <w:sz w:val="24"/>
              <w:szCs w:val="24"/>
            </w:rPr>
            <w:instrText xml:space="preserve"> CITATION Lon17 \l 1033 </w:instrText>
          </w:r>
          <w:r w:rsidR="0036508B">
            <w:rPr>
              <w:rFonts w:ascii="Times New Roman" w:eastAsia="Times New Roman" w:hAnsi="Times New Roman" w:cs="Times New Roman"/>
              <w:color w:val="222222"/>
              <w:sz w:val="24"/>
              <w:szCs w:val="24"/>
            </w:rPr>
            <w:fldChar w:fldCharType="separate"/>
          </w:r>
          <w:r w:rsidR="0036508B" w:rsidRPr="0036508B">
            <w:rPr>
              <w:rFonts w:ascii="Times New Roman" w:eastAsia="Times New Roman" w:hAnsi="Times New Roman" w:cs="Times New Roman"/>
              <w:noProof/>
              <w:color w:val="222222"/>
              <w:sz w:val="24"/>
              <w:szCs w:val="24"/>
            </w:rPr>
            <w:t>(Lonigan, Allan, &amp; Phillips, 2017)</w:t>
          </w:r>
          <w:r w:rsidR="0036508B">
            <w:rPr>
              <w:rFonts w:ascii="Times New Roman" w:eastAsia="Times New Roman" w:hAnsi="Times New Roman" w:cs="Times New Roman"/>
              <w:color w:val="222222"/>
              <w:sz w:val="24"/>
              <w:szCs w:val="24"/>
            </w:rPr>
            <w:fldChar w:fldCharType="end"/>
          </w:r>
        </w:sdtContent>
      </w:sdt>
      <w:r w:rsidR="0036508B">
        <w:rPr>
          <w:rFonts w:ascii="Times New Roman" w:eastAsia="Times New Roman" w:hAnsi="Times New Roman" w:cs="Times New Roman"/>
          <w:color w:val="222222"/>
          <w:sz w:val="24"/>
          <w:szCs w:val="24"/>
        </w:rPr>
        <w:t xml:space="preserve">.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Do you agree with the author’s recommendations? Why, or why not? </w:t>
      </w:r>
    </w:p>
    <w:p w:rsidR="00A3695B" w:rsidRPr="001B7DBD" w:rsidRDefault="00630DC0" w:rsidP="00630DC0">
      <w:pPr>
        <w:shd w:val="clear" w:color="auto" w:fill="FFFFFF"/>
        <w:spacing w:after="0" w:line="480" w:lineRule="auto"/>
        <w:ind w:firstLine="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author is credible and his recommendation for an increased role for the librarians in a bid to improve literacy standards is sound. However, my assessment holds that such an initiative is not as productive as community based initiatives. The librarian is a critical component in shaping the literacy skills of scholars in institutions and also ensures that the mentioned literacy skills adopted are in line with the necessity for other instructors. However, the options provided by the librarians are reading and writing but community initiatives have a more all-rounded perspective that involves auditory languages. Another critical benefit of community initiatives is the impact beyond the scope of academics and applicability in life scenarios. </w:t>
      </w:r>
    </w:p>
    <w:p w:rsidR="0063717D"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 xml:space="preserve">How do literacy skills affect your current position </w:t>
      </w:r>
      <w:r w:rsidR="004B2A99">
        <w:rPr>
          <w:rFonts w:ascii="Times New Roman" w:eastAsia="Times New Roman" w:hAnsi="Times New Roman" w:cs="Times New Roman"/>
          <w:b/>
          <w:color w:val="1D1D1D"/>
          <w:sz w:val="24"/>
          <w:szCs w:val="24"/>
        </w:rPr>
        <w:t>as a student</w:t>
      </w:r>
      <w:r w:rsidRPr="004B2A99">
        <w:rPr>
          <w:rFonts w:ascii="Times New Roman" w:eastAsia="Times New Roman" w:hAnsi="Times New Roman" w:cs="Times New Roman"/>
          <w:b/>
          <w:color w:val="1D1D1D"/>
          <w:sz w:val="24"/>
          <w:szCs w:val="24"/>
        </w:rPr>
        <w:t>? </w:t>
      </w:r>
    </w:p>
    <w:p w:rsidR="00A3695B" w:rsidRPr="001B7DBD" w:rsidRDefault="004B2A99" w:rsidP="00304AC1">
      <w:pPr>
        <w:shd w:val="clear" w:color="auto" w:fill="FFFFFF"/>
        <w:spacing w:after="0" w:line="480" w:lineRule="auto"/>
        <w:ind w:firstLine="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As a </w:t>
      </w:r>
      <w:r w:rsidR="000107CF">
        <w:rPr>
          <w:rFonts w:ascii="Times New Roman" w:eastAsia="Times New Roman" w:hAnsi="Times New Roman" w:cs="Times New Roman"/>
          <w:color w:val="222222"/>
          <w:sz w:val="24"/>
          <w:szCs w:val="24"/>
        </w:rPr>
        <w:t>student</w:t>
      </w:r>
      <w:r w:rsidR="00304AC1">
        <w:rPr>
          <w:rFonts w:ascii="Times New Roman" w:eastAsia="Times New Roman" w:hAnsi="Times New Roman" w:cs="Times New Roman"/>
          <w:color w:val="222222"/>
          <w:sz w:val="24"/>
          <w:szCs w:val="24"/>
        </w:rPr>
        <w:t xml:space="preserve">, information literacy skills are fundamental in the acquisition and development of critical thinking skills. The later is essential in the level on improvement achieved in terms of student writing and academic performance. A critical influence of adept literal skills in marked </w:t>
      </w:r>
      <w:r w:rsidR="00304AC1">
        <w:rPr>
          <w:rFonts w:ascii="Times New Roman" w:eastAsia="Times New Roman" w:hAnsi="Times New Roman" w:cs="Times New Roman"/>
          <w:color w:val="222222"/>
          <w:sz w:val="24"/>
          <w:szCs w:val="24"/>
        </w:rPr>
        <w:lastRenderedPageBreak/>
        <w:t xml:space="preserve">in the retention rates and GPA’s in performance evaluations. Another highlight of literacy skills for a student is in the presentation tactics employed by instructors, also as a form of evaluation which is reliant of auditory competence. The primary impact the skills have is on evaluation that dictates successful transition. A consequential effect of literacy skills is the relationship and reliability with other scholars and instructors. </w:t>
      </w:r>
    </w:p>
    <w:p w:rsidR="00FD602F" w:rsidRPr="004B2A99" w:rsidRDefault="0063717D" w:rsidP="004B2A99">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rPr>
      </w:pPr>
      <w:r w:rsidRPr="004B2A99">
        <w:rPr>
          <w:rFonts w:ascii="Times New Roman" w:eastAsia="Times New Roman" w:hAnsi="Times New Roman" w:cs="Times New Roman"/>
          <w:b/>
          <w:color w:val="1D1D1D"/>
          <w:sz w:val="24"/>
          <w:szCs w:val="24"/>
        </w:rPr>
        <w:t>How do literacy skills affect management's responsibilities towards training? </w:t>
      </w:r>
    </w:p>
    <w:p w:rsidR="00A3695B" w:rsidRDefault="004B2A99" w:rsidP="004B2A99">
      <w:pPr>
        <w:shd w:val="clear" w:color="auto" w:fill="FFFFFF"/>
        <w:spacing w:after="0" w:line="480" w:lineRule="auto"/>
        <w:ind w:firstLine="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role of management is shaped with accordance to the context of the setup in terms of adult literacy skill development in the organization. Management should have in place a policy distinct in its initiative and budget aimed at the development and training of personnel. </w:t>
      </w:r>
      <w:r w:rsidR="00EF73B2">
        <w:rPr>
          <w:rFonts w:ascii="Times New Roman" w:eastAsia="Times New Roman" w:hAnsi="Times New Roman" w:cs="Times New Roman"/>
          <w:color w:val="222222"/>
          <w:sz w:val="24"/>
          <w:szCs w:val="24"/>
        </w:rPr>
        <w:t xml:space="preserve">The training directives are shaped by the dynamic of the organization in term of skills, competence and employment level. When formulating training protocols, the management has to put into consideration the statistics of literacy within the organization, the statistics is fundamental in grouping of the personnel, which also defines the directives handed to the staff in line with their competency and the directives of the organization. A critical input for the management is ensuring that the training objectives set reflect the philosophy of adult education, and also encourage active participation and learning. </w:t>
      </w:r>
    </w:p>
    <w:p w:rsidR="00EF73B2" w:rsidRDefault="00EF73B2">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bookmarkStart w:id="0" w:name="_GoBack"/>
      <w:bookmarkEnd w:id="0"/>
    </w:p>
    <w:sdt>
      <w:sdtPr>
        <w:rPr>
          <w:rFonts w:asciiTheme="minorHAnsi" w:eastAsiaTheme="minorEastAsia" w:hAnsiTheme="minorHAnsi" w:cstheme="minorBidi"/>
          <w:b w:val="0"/>
          <w:bCs w:val="0"/>
          <w:color w:val="auto"/>
          <w:sz w:val="22"/>
          <w:szCs w:val="22"/>
          <w:lang w:bidi="ar-SA"/>
        </w:rPr>
        <w:id w:val="344747678"/>
        <w:docPartObj>
          <w:docPartGallery w:val="Bibliographies"/>
          <w:docPartUnique/>
        </w:docPartObj>
      </w:sdtPr>
      <w:sdtEndPr/>
      <w:sdtContent>
        <w:p w:rsidR="00EF73B2" w:rsidRPr="007820D3" w:rsidRDefault="00EF73B2" w:rsidP="00EF73B2">
          <w:pPr>
            <w:pStyle w:val="Heading1"/>
            <w:jc w:val="center"/>
            <w:rPr>
              <w:b w:val="0"/>
            </w:rPr>
          </w:pPr>
          <w:r w:rsidRPr="007820D3">
            <w:rPr>
              <w:rFonts w:ascii="Times New Roman" w:hAnsi="Times New Roman" w:cs="Times New Roman"/>
              <w:b w:val="0"/>
              <w:color w:val="auto"/>
              <w:sz w:val="24"/>
            </w:rPr>
            <w:t>References</w:t>
          </w:r>
        </w:p>
        <w:sdt>
          <w:sdtPr>
            <w:id w:val="111145805"/>
            <w:bibliography/>
          </w:sdtPr>
          <w:sdtEndPr/>
          <w:sdtContent>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sz w:val="24"/>
                </w:rPr>
                <w:fldChar w:fldCharType="begin"/>
              </w:r>
              <w:r w:rsidRPr="00EF73B2">
                <w:rPr>
                  <w:rFonts w:ascii="Times New Roman" w:hAnsi="Times New Roman" w:cs="Times New Roman"/>
                  <w:sz w:val="24"/>
                </w:rPr>
                <w:instrText xml:space="preserve"> BIBLIOGRAPHY </w:instrText>
              </w:r>
              <w:r w:rsidRPr="00EF73B2">
                <w:rPr>
                  <w:rFonts w:ascii="Times New Roman" w:hAnsi="Times New Roman" w:cs="Times New Roman"/>
                  <w:sz w:val="24"/>
                </w:rPr>
                <w:fldChar w:fldCharType="separate"/>
              </w:r>
              <w:r w:rsidRPr="00EF73B2">
                <w:rPr>
                  <w:rFonts w:ascii="Times New Roman" w:hAnsi="Times New Roman" w:cs="Times New Roman"/>
                  <w:noProof/>
                  <w:sz w:val="24"/>
                </w:rPr>
                <w:t xml:space="preserve">Currie, J., &amp; Aizer, A. (2016, December). </w:t>
              </w:r>
              <w:r w:rsidRPr="00EF73B2">
                <w:rPr>
                  <w:rFonts w:ascii="Times New Roman" w:hAnsi="Times New Roman" w:cs="Times New Roman"/>
                  <w:i/>
                  <w:iCs/>
                  <w:noProof/>
                  <w:sz w:val="24"/>
                </w:rPr>
                <w:t>The Program on Children</w:t>
              </w:r>
              <w:r w:rsidRPr="00EF73B2">
                <w:rPr>
                  <w:rFonts w:ascii="Times New Roman" w:hAnsi="Times New Roman" w:cs="Times New Roman"/>
                  <w:noProof/>
                  <w:sz w:val="24"/>
                </w:rPr>
                <w:t>. Retrieved May 2019, from The National Bureau of Economic Research Reporter; Quarterly Summary: https://www.nber.org/reporter/2016number4/2016number4.pdf</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Davis, L. M., Bozick, R., Steele, J. L., Saunders, J., &amp; Miles, J. N. (2013). </w:t>
              </w:r>
              <w:r w:rsidRPr="00EF73B2">
                <w:rPr>
                  <w:rFonts w:ascii="Times New Roman" w:hAnsi="Times New Roman" w:cs="Times New Roman"/>
                  <w:i/>
                  <w:iCs/>
                  <w:noProof/>
                  <w:sz w:val="24"/>
                </w:rPr>
                <w:t>Evaluating the Effectiveness of Correctional Education: A Meta-Analysis of Programs that Provide Education to Incarcerated Adults.</w:t>
              </w:r>
              <w:r w:rsidRPr="00EF73B2">
                <w:rPr>
                  <w:rFonts w:ascii="Times New Roman" w:hAnsi="Times New Roman" w:cs="Times New Roman"/>
                  <w:noProof/>
                  <w:sz w:val="24"/>
                </w:rPr>
                <w:t xml:space="preserve"> Santa Monica.</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Julien, H., Gross, M., &amp; Latham, D. (2018). Survey of information literacy instructional practices in US academic libraries. </w:t>
              </w:r>
              <w:r w:rsidRPr="00EF73B2">
                <w:rPr>
                  <w:rFonts w:ascii="Times New Roman" w:hAnsi="Times New Roman" w:cs="Times New Roman"/>
                  <w:i/>
                  <w:iCs/>
                  <w:noProof/>
                  <w:sz w:val="24"/>
                </w:rPr>
                <w:t>College &amp; research libraries</w:t>
              </w:r>
              <w:r w:rsidRPr="00EF73B2">
                <w:rPr>
                  <w:rFonts w:ascii="Times New Roman" w:hAnsi="Times New Roman" w:cs="Times New Roman"/>
                  <w:noProof/>
                  <w:sz w:val="24"/>
                </w:rPr>
                <w:t xml:space="preserve"> </w:t>
              </w:r>
              <w:r w:rsidRPr="00EF73B2">
                <w:rPr>
                  <w:rFonts w:ascii="Times New Roman" w:hAnsi="Times New Roman" w:cs="Times New Roman"/>
                  <w:i/>
                  <w:iCs/>
                  <w:noProof/>
                  <w:sz w:val="24"/>
                </w:rPr>
                <w:t>, 79</w:t>
              </w:r>
              <w:r w:rsidRPr="00EF73B2">
                <w:rPr>
                  <w:rFonts w:ascii="Times New Roman" w:hAnsi="Times New Roman" w:cs="Times New Roman"/>
                  <w:noProof/>
                  <w:sz w:val="24"/>
                </w:rPr>
                <w:t xml:space="preserve"> (2), 179-193.</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Lonigan, C. J., Allan, D. M., &amp; Phillips, B. M. (2017). Examining the predictive relations between two aspects of self-regulation and growth in preschool children’s early literacy skills. </w:t>
              </w:r>
              <w:r w:rsidRPr="00EF73B2">
                <w:rPr>
                  <w:rFonts w:ascii="Times New Roman" w:hAnsi="Times New Roman" w:cs="Times New Roman"/>
                  <w:i/>
                  <w:iCs/>
                  <w:noProof/>
                  <w:sz w:val="24"/>
                </w:rPr>
                <w:t>Developmental psychology</w:t>
              </w:r>
              <w:r w:rsidRPr="00EF73B2">
                <w:rPr>
                  <w:rFonts w:ascii="Times New Roman" w:hAnsi="Times New Roman" w:cs="Times New Roman"/>
                  <w:noProof/>
                  <w:sz w:val="24"/>
                </w:rPr>
                <w:t xml:space="preserve"> </w:t>
              </w:r>
              <w:r w:rsidRPr="00EF73B2">
                <w:rPr>
                  <w:rFonts w:ascii="Times New Roman" w:hAnsi="Times New Roman" w:cs="Times New Roman"/>
                  <w:i/>
                  <w:iCs/>
                  <w:noProof/>
                  <w:sz w:val="24"/>
                </w:rPr>
                <w:t>, 53</w:t>
              </w:r>
              <w:r w:rsidRPr="00EF73B2">
                <w:rPr>
                  <w:rFonts w:ascii="Times New Roman" w:hAnsi="Times New Roman" w:cs="Times New Roman"/>
                  <w:noProof/>
                  <w:sz w:val="24"/>
                </w:rPr>
                <w:t xml:space="preserve"> (1), 63-76.</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Nick, B. P., &amp; Thacker, J. W. (2012). </w:t>
              </w:r>
              <w:r w:rsidRPr="00EF73B2">
                <w:rPr>
                  <w:rFonts w:ascii="Times New Roman" w:hAnsi="Times New Roman" w:cs="Times New Roman"/>
                  <w:i/>
                  <w:iCs/>
                  <w:noProof/>
                  <w:sz w:val="24"/>
                </w:rPr>
                <w:t>Effective Training: Systems, Strategies and Practices. .</w:t>
              </w:r>
              <w:r w:rsidRPr="00EF73B2">
                <w:rPr>
                  <w:rFonts w:ascii="Times New Roman" w:hAnsi="Times New Roman" w:cs="Times New Roman"/>
                  <w:noProof/>
                  <w:sz w:val="24"/>
                </w:rPr>
                <w:t xml:space="preserve"> Pearson Education India.</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Travis, T. A. (2017). From the classroom to the boardroom: The impact of information literacy instruction on workplace research skills. </w:t>
              </w:r>
              <w:r w:rsidRPr="00EF73B2">
                <w:rPr>
                  <w:rFonts w:ascii="Times New Roman" w:hAnsi="Times New Roman" w:cs="Times New Roman"/>
                  <w:i/>
                  <w:iCs/>
                  <w:noProof/>
                  <w:sz w:val="24"/>
                </w:rPr>
                <w:t>Education Libraries</w:t>
              </w:r>
              <w:r w:rsidRPr="00EF73B2">
                <w:rPr>
                  <w:rFonts w:ascii="Times New Roman" w:hAnsi="Times New Roman" w:cs="Times New Roman"/>
                  <w:noProof/>
                  <w:sz w:val="24"/>
                </w:rPr>
                <w:t xml:space="preserve"> </w:t>
              </w:r>
              <w:r w:rsidRPr="00EF73B2">
                <w:rPr>
                  <w:rFonts w:ascii="Times New Roman" w:hAnsi="Times New Roman" w:cs="Times New Roman"/>
                  <w:i/>
                  <w:iCs/>
                  <w:noProof/>
                  <w:sz w:val="24"/>
                </w:rPr>
                <w:t>, 34</w:t>
              </w:r>
              <w:r w:rsidRPr="00EF73B2">
                <w:rPr>
                  <w:rFonts w:ascii="Times New Roman" w:hAnsi="Times New Roman" w:cs="Times New Roman"/>
                  <w:noProof/>
                  <w:sz w:val="24"/>
                </w:rPr>
                <w:t xml:space="preserve"> (2), 19-31.</w:t>
              </w:r>
            </w:p>
            <w:p w:rsidR="00EF73B2" w:rsidRPr="00EF73B2" w:rsidRDefault="00EF73B2" w:rsidP="00EF73B2">
              <w:pPr>
                <w:pStyle w:val="Bibliography"/>
                <w:spacing w:line="480" w:lineRule="auto"/>
                <w:ind w:left="720" w:hanging="720"/>
                <w:rPr>
                  <w:rFonts w:ascii="Times New Roman" w:hAnsi="Times New Roman" w:cs="Times New Roman"/>
                  <w:noProof/>
                  <w:sz w:val="24"/>
                </w:rPr>
              </w:pPr>
              <w:r w:rsidRPr="00EF73B2">
                <w:rPr>
                  <w:rFonts w:ascii="Times New Roman" w:hAnsi="Times New Roman" w:cs="Times New Roman"/>
                  <w:noProof/>
                  <w:sz w:val="24"/>
                </w:rPr>
                <w:t xml:space="preserve">Vecchiarelli, J. (2017, November 22). </w:t>
              </w:r>
              <w:r w:rsidRPr="00EF73B2">
                <w:rPr>
                  <w:rFonts w:ascii="Times New Roman" w:hAnsi="Times New Roman" w:cs="Times New Roman"/>
                  <w:i/>
                  <w:iCs/>
                  <w:noProof/>
                  <w:sz w:val="24"/>
                </w:rPr>
                <w:t>36 Million Reasons Why We Participate in #GIVINGTUESDAY</w:t>
              </w:r>
              <w:r w:rsidRPr="00EF73B2">
                <w:rPr>
                  <w:rFonts w:ascii="Times New Roman" w:hAnsi="Times New Roman" w:cs="Times New Roman"/>
                  <w:noProof/>
                  <w:sz w:val="24"/>
                </w:rPr>
                <w:t>. Retrieved May 2019, from Pro Literacy: https://proliteracy.org/Blogs/Article/290/36-Million-Reasons-Why-We-Participate-in-GIVINGTUESDAY</w:t>
              </w:r>
            </w:p>
            <w:p w:rsidR="00EF73B2" w:rsidRPr="00EF73B2" w:rsidRDefault="00EF73B2" w:rsidP="00EF73B2">
              <w:pPr>
                <w:spacing w:line="480" w:lineRule="auto"/>
              </w:pPr>
              <w:r w:rsidRPr="00EF73B2">
                <w:rPr>
                  <w:rFonts w:ascii="Times New Roman" w:hAnsi="Times New Roman" w:cs="Times New Roman"/>
                  <w:sz w:val="24"/>
                </w:rPr>
                <w:fldChar w:fldCharType="end"/>
              </w:r>
            </w:p>
          </w:sdtContent>
        </w:sdt>
      </w:sdtContent>
    </w:sdt>
    <w:sectPr w:rsidR="00EF73B2" w:rsidRPr="00EF73B2" w:rsidSect="00E312F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380" w:rsidRDefault="00411380" w:rsidP="00E312FD">
      <w:pPr>
        <w:spacing w:after="0" w:line="240" w:lineRule="auto"/>
      </w:pPr>
      <w:r>
        <w:separator/>
      </w:r>
    </w:p>
  </w:endnote>
  <w:endnote w:type="continuationSeparator" w:id="0">
    <w:p w:rsidR="00411380" w:rsidRDefault="00411380" w:rsidP="00E3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380" w:rsidRDefault="00411380" w:rsidP="00E312FD">
      <w:pPr>
        <w:spacing w:after="0" w:line="240" w:lineRule="auto"/>
      </w:pPr>
      <w:r>
        <w:separator/>
      </w:r>
    </w:p>
  </w:footnote>
  <w:footnote w:type="continuationSeparator" w:id="0">
    <w:p w:rsidR="00411380" w:rsidRDefault="00411380" w:rsidP="00E312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A99" w:rsidRPr="00E312FD" w:rsidRDefault="004B2A99">
    <w:pPr>
      <w:pStyle w:val="Header"/>
      <w:jc w:val="right"/>
      <w:rPr>
        <w:rFonts w:ascii="Times New Roman" w:hAnsi="Times New Roman" w:cs="Times New Roman"/>
        <w:sz w:val="24"/>
      </w:rPr>
    </w:pPr>
    <w:r w:rsidRPr="00E312FD">
      <w:rPr>
        <w:rFonts w:ascii="Times New Roman" w:hAnsi="Times New Roman" w:cs="Times New Roman"/>
        <w:sz w:val="24"/>
      </w:rPr>
      <w:t>LITERACY SKILLS IN THE UNITED STATES</w:t>
    </w:r>
    <w:r w:rsidRPr="00E312FD">
      <w:rPr>
        <w:rFonts w:ascii="Times New Roman" w:hAnsi="Times New Roman" w:cs="Times New Roman"/>
        <w:sz w:val="24"/>
      </w:rPr>
      <w:tab/>
    </w:r>
    <w:sdt>
      <w:sdtPr>
        <w:rPr>
          <w:rFonts w:ascii="Times New Roman" w:hAnsi="Times New Roman" w:cs="Times New Roman"/>
          <w:sz w:val="24"/>
        </w:rPr>
        <w:id w:val="344747575"/>
        <w:docPartObj>
          <w:docPartGallery w:val="Page Numbers (Top of Page)"/>
          <w:docPartUnique/>
        </w:docPartObj>
      </w:sdtPr>
      <w:sdtEndPr/>
      <w:sdtContent>
        <w:r w:rsidRPr="00E312FD">
          <w:rPr>
            <w:rFonts w:ascii="Times New Roman" w:hAnsi="Times New Roman" w:cs="Times New Roman"/>
            <w:sz w:val="24"/>
          </w:rPr>
          <w:fldChar w:fldCharType="begin"/>
        </w:r>
        <w:r w:rsidRPr="00E312FD">
          <w:rPr>
            <w:rFonts w:ascii="Times New Roman" w:hAnsi="Times New Roman" w:cs="Times New Roman"/>
            <w:sz w:val="24"/>
          </w:rPr>
          <w:instrText xml:space="preserve"> PAGE   \* MERGEFORMAT </w:instrText>
        </w:r>
        <w:r w:rsidRPr="00E312FD">
          <w:rPr>
            <w:rFonts w:ascii="Times New Roman" w:hAnsi="Times New Roman" w:cs="Times New Roman"/>
            <w:sz w:val="24"/>
          </w:rPr>
          <w:fldChar w:fldCharType="separate"/>
        </w:r>
        <w:r w:rsidR="005177F3">
          <w:rPr>
            <w:rFonts w:ascii="Times New Roman" w:hAnsi="Times New Roman" w:cs="Times New Roman"/>
            <w:noProof/>
            <w:sz w:val="24"/>
          </w:rPr>
          <w:t>7</w:t>
        </w:r>
        <w:r w:rsidRPr="00E312FD">
          <w:rPr>
            <w:rFonts w:ascii="Times New Roman" w:hAnsi="Times New Roman" w:cs="Times New Roman"/>
            <w:sz w:val="24"/>
          </w:rPr>
          <w:fldChar w:fldCharType="end"/>
        </w:r>
      </w:sdtContent>
    </w:sdt>
  </w:p>
  <w:p w:rsidR="004B2A99" w:rsidRPr="00E312FD" w:rsidRDefault="004B2A99">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A99" w:rsidRPr="00E312FD" w:rsidRDefault="004B2A99">
    <w:pPr>
      <w:pStyle w:val="Header"/>
      <w:jc w:val="right"/>
      <w:rPr>
        <w:rFonts w:ascii="Times New Roman" w:hAnsi="Times New Roman" w:cs="Times New Roman"/>
        <w:sz w:val="24"/>
      </w:rPr>
    </w:pPr>
    <w:r>
      <w:rPr>
        <w:rFonts w:ascii="Times New Roman" w:hAnsi="Times New Roman" w:cs="Times New Roman"/>
        <w:sz w:val="24"/>
      </w:rPr>
      <w:t xml:space="preserve">Running Head: </w:t>
    </w:r>
    <w:r w:rsidRPr="00E312FD">
      <w:rPr>
        <w:rFonts w:ascii="Times New Roman" w:hAnsi="Times New Roman" w:cs="Times New Roman"/>
        <w:sz w:val="24"/>
      </w:rPr>
      <w:t xml:space="preserve">LITERACY SKILLS IN THE UNITED STATES </w:t>
    </w:r>
    <w:r>
      <w:rPr>
        <w:rFonts w:ascii="Times New Roman" w:hAnsi="Times New Roman" w:cs="Times New Roman"/>
        <w:sz w:val="24"/>
      </w:rPr>
      <w:tab/>
    </w:r>
    <w:sdt>
      <w:sdtPr>
        <w:rPr>
          <w:rFonts w:ascii="Times New Roman" w:hAnsi="Times New Roman" w:cs="Times New Roman"/>
          <w:sz w:val="24"/>
        </w:rPr>
        <w:id w:val="344747649"/>
        <w:docPartObj>
          <w:docPartGallery w:val="Page Numbers (Top of Page)"/>
          <w:docPartUnique/>
        </w:docPartObj>
      </w:sdtPr>
      <w:sdtEndPr/>
      <w:sdtContent>
        <w:r w:rsidRPr="00E312FD">
          <w:rPr>
            <w:rFonts w:ascii="Times New Roman" w:hAnsi="Times New Roman" w:cs="Times New Roman"/>
            <w:sz w:val="24"/>
          </w:rPr>
          <w:fldChar w:fldCharType="begin"/>
        </w:r>
        <w:r w:rsidRPr="00E312FD">
          <w:rPr>
            <w:rFonts w:ascii="Times New Roman" w:hAnsi="Times New Roman" w:cs="Times New Roman"/>
            <w:sz w:val="24"/>
          </w:rPr>
          <w:instrText xml:space="preserve"> PAGE   \* MERGEFORMAT </w:instrText>
        </w:r>
        <w:r w:rsidRPr="00E312FD">
          <w:rPr>
            <w:rFonts w:ascii="Times New Roman" w:hAnsi="Times New Roman" w:cs="Times New Roman"/>
            <w:sz w:val="24"/>
          </w:rPr>
          <w:fldChar w:fldCharType="separate"/>
        </w:r>
        <w:r w:rsidR="005177F3">
          <w:rPr>
            <w:rFonts w:ascii="Times New Roman" w:hAnsi="Times New Roman" w:cs="Times New Roman"/>
            <w:noProof/>
            <w:sz w:val="24"/>
          </w:rPr>
          <w:t>1</w:t>
        </w:r>
        <w:r w:rsidRPr="00E312FD">
          <w:rPr>
            <w:rFonts w:ascii="Times New Roman" w:hAnsi="Times New Roman" w:cs="Times New Roman"/>
            <w:sz w:val="24"/>
          </w:rPr>
          <w:fldChar w:fldCharType="end"/>
        </w:r>
      </w:sdtContent>
    </w:sdt>
  </w:p>
  <w:p w:rsidR="004B2A99" w:rsidRPr="00E312FD" w:rsidRDefault="004B2A99">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606877"/>
    <w:multiLevelType w:val="hybridMultilevel"/>
    <w:tmpl w:val="CE22A7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7D"/>
    <w:rsid w:val="000107CF"/>
    <w:rsid w:val="000C7311"/>
    <w:rsid w:val="0017270D"/>
    <w:rsid w:val="00175906"/>
    <w:rsid w:val="001B7DBD"/>
    <w:rsid w:val="002808B7"/>
    <w:rsid w:val="00297EDF"/>
    <w:rsid w:val="002F2CE7"/>
    <w:rsid w:val="00304AC1"/>
    <w:rsid w:val="0036508B"/>
    <w:rsid w:val="004012CF"/>
    <w:rsid w:val="00411380"/>
    <w:rsid w:val="00436741"/>
    <w:rsid w:val="00474141"/>
    <w:rsid w:val="004B2A99"/>
    <w:rsid w:val="004E79BC"/>
    <w:rsid w:val="005177F3"/>
    <w:rsid w:val="00630DC0"/>
    <w:rsid w:val="0063717D"/>
    <w:rsid w:val="006739A2"/>
    <w:rsid w:val="007820D3"/>
    <w:rsid w:val="007B50B2"/>
    <w:rsid w:val="007D1A23"/>
    <w:rsid w:val="00A3695B"/>
    <w:rsid w:val="00BF2AF3"/>
    <w:rsid w:val="00D61396"/>
    <w:rsid w:val="00E312FD"/>
    <w:rsid w:val="00E41B33"/>
    <w:rsid w:val="00E56D5A"/>
    <w:rsid w:val="00E8389E"/>
    <w:rsid w:val="00EF73B2"/>
    <w:rsid w:val="00F668FF"/>
    <w:rsid w:val="00FA7DEE"/>
    <w:rsid w:val="00FD6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E9A3B0-A42A-4FF1-BAA7-259D9619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741"/>
  </w:style>
  <w:style w:type="paragraph" w:styleId="Heading1">
    <w:name w:val="heading 1"/>
    <w:basedOn w:val="Normal"/>
    <w:next w:val="Normal"/>
    <w:link w:val="Heading1Char"/>
    <w:uiPriority w:val="9"/>
    <w:qFormat/>
    <w:rsid w:val="00EF73B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95B"/>
    <w:pPr>
      <w:ind w:left="720"/>
      <w:contextualSpacing/>
    </w:pPr>
  </w:style>
  <w:style w:type="paragraph" w:styleId="BalloonText">
    <w:name w:val="Balloon Text"/>
    <w:basedOn w:val="Normal"/>
    <w:link w:val="BalloonTextChar"/>
    <w:uiPriority w:val="99"/>
    <w:semiHidden/>
    <w:unhideWhenUsed/>
    <w:rsid w:val="00401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2CF"/>
    <w:rPr>
      <w:rFonts w:ascii="Tahoma" w:hAnsi="Tahoma" w:cs="Tahoma"/>
      <w:sz w:val="16"/>
      <w:szCs w:val="16"/>
    </w:rPr>
  </w:style>
  <w:style w:type="paragraph" w:styleId="Header">
    <w:name w:val="header"/>
    <w:basedOn w:val="Normal"/>
    <w:link w:val="HeaderChar"/>
    <w:uiPriority w:val="99"/>
    <w:unhideWhenUsed/>
    <w:rsid w:val="00E31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2FD"/>
  </w:style>
  <w:style w:type="paragraph" w:styleId="Footer">
    <w:name w:val="footer"/>
    <w:basedOn w:val="Normal"/>
    <w:link w:val="FooterChar"/>
    <w:uiPriority w:val="99"/>
    <w:semiHidden/>
    <w:unhideWhenUsed/>
    <w:rsid w:val="00E312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12FD"/>
  </w:style>
  <w:style w:type="character" w:customStyle="1" w:styleId="Heading1Char">
    <w:name w:val="Heading 1 Char"/>
    <w:basedOn w:val="DefaultParagraphFont"/>
    <w:link w:val="Heading1"/>
    <w:uiPriority w:val="9"/>
    <w:rsid w:val="00EF73B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F7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924806">
      <w:bodyDiv w:val="1"/>
      <w:marLeft w:val="0"/>
      <w:marRight w:val="0"/>
      <w:marTop w:val="0"/>
      <w:marBottom w:val="0"/>
      <w:divBdr>
        <w:top w:val="none" w:sz="0" w:space="0" w:color="auto"/>
        <w:left w:val="none" w:sz="0" w:space="0" w:color="auto"/>
        <w:bottom w:val="none" w:sz="0" w:space="0" w:color="auto"/>
        <w:right w:val="none" w:sz="0" w:space="0" w:color="auto"/>
      </w:divBdr>
      <w:divsChild>
        <w:div w:id="1251158670">
          <w:marLeft w:val="0"/>
          <w:marRight w:val="0"/>
          <w:marTop w:val="0"/>
          <w:marBottom w:val="0"/>
          <w:divBdr>
            <w:top w:val="none" w:sz="0" w:space="0" w:color="auto"/>
            <w:left w:val="none" w:sz="0" w:space="0" w:color="auto"/>
            <w:bottom w:val="none" w:sz="0" w:space="0" w:color="auto"/>
            <w:right w:val="none" w:sz="0" w:space="0" w:color="auto"/>
          </w:divBdr>
        </w:div>
        <w:div w:id="334112385">
          <w:marLeft w:val="0"/>
          <w:marRight w:val="0"/>
          <w:marTop w:val="0"/>
          <w:marBottom w:val="0"/>
          <w:divBdr>
            <w:top w:val="none" w:sz="0" w:space="0" w:color="auto"/>
            <w:left w:val="none" w:sz="0" w:space="0" w:color="auto"/>
            <w:bottom w:val="none" w:sz="0" w:space="0" w:color="auto"/>
            <w:right w:val="none" w:sz="0" w:space="0" w:color="auto"/>
          </w:divBdr>
        </w:div>
        <w:div w:id="941497567">
          <w:marLeft w:val="0"/>
          <w:marRight w:val="0"/>
          <w:marTop w:val="0"/>
          <w:marBottom w:val="0"/>
          <w:divBdr>
            <w:top w:val="none" w:sz="0" w:space="0" w:color="auto"/>
            <w:left w:val="none" w:sz="0" w:space="0" w:color="auto"/>
            <w:bottom w:val="none" w:sz="0" w:space="0" w:color="auto"/>
            <w:right w:val="none" w:sz="0" w:space="0" w:color="auto"/>
          </w:divBdr>
        </w:div>
        <w:div w:id="797332876">
          <w:marLeft w:val="0"/>
          <w:marRight w:val="0"/>
          <w:marTop w:val="0"/>
          <w:marBottom w:val="0"/>
          <w:divBdr>
            <w:top w:val="none" w:sz="0" w:space="0" w:color="auto"/>
            <w:left w:val="none" w:sz="0" w:space="0" w:color="auto"/>
            <w:bottom w:val="none" w:sz="0" w:space="0" w:color="auto"/>
            <w:right w:val="none" w:sz="0" w:space="0" w:color="auto"/>
          </w:divBdr>
        </w:div>
        <w:div w:id="32970854">
          <w:marLeft w:val="0"/>
          <w:marRight w:val="0"/>
          <w:marTop w:val="0"/>
          <w:marBottom w:val="0"/>
          <w:divBdr>
            <w:top w:val="none" w:sz="0" w:space="0" w:color="auto"/>
            <w:left w:val="none" w:sz="0" w:space="0" w:color="auto"/>
            <w:bottom w:val="none" w:sz="0" w:space="0" w:color="auto"/>
            <w:right w:val="none" w:sz="0" w:space="0" w:color="auto"/>
          </w:divBdr>
        </w:div>
        <w:div w:id="557480118">
          <w:marLeft w:val="0"/>
          <w:marRight w:val="0"/>
          <w:marTop w:val="0"/>
          <w:marBottom w:val="0"/>
          <w:divBdr>
            <w:top w:val="none" w:sz="0" w:space="0" w:color="auto"/>
            <w:left w:val="none" w:sz="0" w:space="0" w:color="auto"/>
            <w:bottom w:val="none" w:sz="0" w:space="0" w:color="auto"/>
            <w:right w:val="none" w:sz="0" w:space="0" w:color="auto"/>
          </w:divBdr>
        </w:div>
        <w:div w:id="468867331">
          <w:marLeft w:val="0"/>
          <w:marRight w:val="0"/>
          <w:marTop w:val="0"/>
          <w:marBottom w:val="0"/>
          <w:divBdr>
            <w:top w:val="none" w:sz="0" w:space="0" w:color="auto"/>
            <w:left w:val="none" w:sz="0" w:space="0" w:color="auto"/>
            <w:bottom w:val="none" w:sz="0" w:space="0" w:color="auto"/>
            <w:right w:val="none" w:sz="0" w:space="0" w:color="auto"/>
          </w:divBdr>
        </w:div>
        <w:div w:id="1753430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Vec17</b:Tag>
    <b:SourceType>InternetSite</b:SourceType>
    <b:Guid>{283BD5BC-D7B0-4980-A5D4-6EEEA96853A9}</b:Guid>
    <b:Author>
      <b:Author>
        <b:NameList>
          <b:Person>
            <b:Last>Vecchiarelli</b:Last>
            <b:First>Jennifer</b:First>
          </b:Person>
        </b:NameList>
      </b:Author>
    </b:Author>
    <b:Title>36 Million Reasons Why We Participate in #GIVINGTUESDAY</b:Title>
    <b:InternetSiteTitle>Pro Literacy</b:InternetSiteTitle>
    <b:Year>2017</b:Year>
    <b:Month>November</b:Month>
    <b:Day>22</b:Day>
    <b:YearAccessed>2019</b:YearAccessed>
    <b:MonthAccessed>May</b:MonthAccessed>
    <b:URL>https://proliteracy.org/Blogs/Article/290/36-Million-Reasons-Why-We-Participate-in-GIVINGTUESDAY</b:URL>
    <b:RefOrder>1</b:RefOrder>
  </b:Source>
  <b:Source>
    <b:Tag>Cur16</b:Tag>
    <b:SourceType>InternetSite</b:SourceType>
    <b:Guid>{223683ED-6014-44BC-A1BB-92F34F324B8E}</b:Guid>
    <b:Author>
      <b:Author>
        <b:NameList>
          <b:Person>
            <b:Last>Currie</b:Last>
            <b:First>Janet</b:First>
          </b:Person>
          <b:Person>
            <b:Last>Aizer</b:Last>
            <b:First>Anna</b:First>
          </b:Person>
        </b:NameList>
      </b:Author>
    </b:Author>
    <b:Title>The Program on Children</b:Title>
    <b:InternetSiteTitle>The National Bureau of Economic Research Reporter; Quarterly Summary</b:InternetSiteTitle>
    <b:Year>2016</b:Year>
    <b:Month>December</b:Month>
    <b:YearAccessed>2019</b:YearAccessed>
    <b:MonthAccessed>May</b:MonthAccessed>
    <b:URL>https://www.nber.org/reporter/2016number4/2016number4.pdf</b:URL>
    <b:RefOrder>2</b:RefOrder>
  </b:Source>
  <b:Source>
    <b:Tag>Dav13</b:Tag>
    <b:SourceType>Report</b:SourceType>
    <b:Guid>{E7AD47E0-DE4C-49CD-8449-82CA93165EC4}</b:Guid>
    <b:Author>
      <b:Author>
        <b:NameList>
          <b:Person>
            <b:Last>Davis</b:Last>
            <b:First>Lois</b:First>
            <b:Middle>M.</b:Middle>
          </b:Person>
          <b:Person>
            <b:Last>Bozick</b:Last>
            <b:First>Robert</b:First>
          </b:Person>
          <b:Person>
            <b:Last>Steele</b:Last>
            <b:First>Jennifer</b:First>
            <b:Middle>L.</b:Middle>
          </b:Person>
          <b:Person>
            <b:Last>Saunders</b:Last>
            <b:First>Jessica</b:First>
          </b:Person>
          <b:Person>
            <b:Last>Miles</b:Last>
            <b:First>Jeremy</b:First>
            <b:Middle>N. V.</b:Middle>
          </b:Person>
        </b:NameList>
      </b:Author>
    </b:Author>
    <b:Title>Evaluating the Effectiveness of Correctional Education: A Meta-Analysis of Programs that Provide Education to Incarcerated Adults</b:Title>
    <b:Year>2013</b:Year>
    <b:URL>https://www.rand.org/pubs/research_reports/RR266.html</b:URL>
    <b:City>Santa Monica</b:City>
    <b:JournalName>Calif.: Rand Corporation</b:JournalName>
    <b:RefOrder>3</b:RefOrder>
  </b:Source>
  <b:Source>
    <b:Tag>Tra17</b:Tag>
    <b:SourceType>JournalArticle</b:SourceType>
    <b:Guid>{03A78EED-A364-4013-9ED9-50F5DD3D247E}</b:Guid>
    <b:Author>
      <b:Author>
        <b:NameList>
          <b:Person>
            <b:Last>Travis</b:Last>
            <b:First>Tiffini</b:First>
            <b:Middle>A.</b:Middle>
          </b:Person>
        </b:NameList>
      </b:Author>
    </b:Author>
    <b:Title>From the classroom to the boardroom: The impact of information literacy instruction on workplace research skills.</b:Title>
    <b:JournalName>Education Libraries</b:JournalName>
    <b:Year>2017</b:Year>
    <b:Pages>19-31</b:Pages>
    <b:Volume>34</b:Volume>
    <b:Issue>2</b:Issue>
    <b:RefOrder>4</b:RefOrder>
  </b:Source>
  <b:Source>
    <b:Tag>Nic12</b:Tag>
    <b:SourceType>Book</b:SourceType>
    <b:Guid>{C34045E3-8652-48E5-A53C-D2322D8831B4}</b:Guid>
    <b:Author>
      <b:Author>
        <b:NameList>
          <b:Person>
            <b:Last>Nick</b:Last>
            <b:First>Blanchard</b:First>
            <b:Middle>P.</b:Middle>
          </b:Person>
          <b:Person>
            <b:Last>Thacker</b:Last>
            <b:First>James</b:First>
            <b:Middle>W.</b:Middle>
          </b:Person>
        </b:NameList>
      </b:Author>
    </b:Author>
    <b:Title>Effective Training: Systems, Strategies and Practices. </b:Title>
    <b:Year>2012</b:Year>
    <b:Publisher>Pearson Education India</b:Publisher>
    <b:RefOrder>7</b:RefOrder>
  </b:Source>
  <b:Source>
    <b:Tag>Lon17</b:Tag>
    <b:SourceType>JournalArticle</b:SourceType>
    <b:Guid>{8276D1DE-4D9F-46E7-9784-69887A8C97B1}</b:Guid>
    <b:Author>
      <b:Author>
        <b:NameList>
          <b:Person>
            <b:Last>Lonigan</b:Last>
            <b:First>Christopher</b:First>
            <b:Middle>J.</b:Middle>
          </b:Person>
          <b:Person>
            <b:Last>Allan</b:Last>
            <b:First>Darcey</b:First>
            <b:Middle>M.</b:Middle>
          </b:Person>
          <b:Person>
            <b:Last>Phillips</b:Last>
            <b:First>Beth</b:First>
            <b:Middle>M.</b:Middle>
          </b:Person>
        </b:NameList>
      </b:Author>
    </b:Author>
    <b:Title>Examining the predictive relations between two aspects of self-regulation and growth in preschool children’s early literacy skills.</b:Title>
    <b:Year>2017</b:Year>
    <b:JournalName>Developmental psychology</b:JournalName>
    <b:Pages>63-76</b:Pages>
    <b:Volume>53</b:Volume>
    <b:Issue>1</b:Issue>
    <b:RefOrder>6</b:RefOrder>
  </b:Source>
  <b:Source>
    <b:Tag>Jul18</b:Tag>
    <b:SourceType>JournalArticle</b:SourceType>
    <b:Guid>{8C685764-F5EE-4A40-A01F-2B412B566BB7}</b:Guid>
    <b:Author>
      <b:Author>
        <b:NameList>
          <b:Person>
            <b:Last>Julien</b:Last>
            <b:First>Heidi</b:First>
          </b:Person>
          <b:Person>
            <b:Last>Gross</b:Last>
            <b:First>Melissa</b:First>
          </b:Person>
          <b:Person>
            <b:Last>Latham</b:Last>
            <b:First>Don</b:First>
          </b:Person>
        </b:NameList>
      </b:Author>
    </b:Author>
    <b:Title>Survey of information literacy instructional practices in US academic libraries.</b:Title>
    <b:Year>2018</b:Year>
    <b:JournalName>College &amp; research libraries</b:JournalName>
    <b:Pages>179-193</b:Pages>
    <b:Volume>79</b:Volume>
    <b:Issue>2</b:Issue>
    <b:RefOrder>5</b:RefOrder>
  </b:Source>
</b:Sources>
</file>

<file path=customXml/itemProps1.xml><?xml version="1.0" encoding="utf-8"?>
<ds:datastoreItem xmlns:ds="http://schemas.openxmlformats.org/officeDocument/2006/customXml" ds:itemID="{B3F67880-71C1-4B79-8430-7C6E5412C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2019-05-25T20:11:00Z</dcterms:created>
  <dcterms:modified xsi:type="dcterms:W3CDTF">2019-05-25T20:11:00Z</dcterms:modified>
</cp:coreProperties>
</file>